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26" w:rsidRPr="00032926" w:rsidRDefault="00032926" w:rsidP="00032926">
      <w:pPr>
        <w:pBdr>
          <w:bottom w:val="single" w:sz="6" w:space="8" w:color="DDDDDD"/>
        </w:pBdr>
        <w:shd w:val="clear" w:color="auto" w:fill="FFFFFF"/>
        <w:spacing w:before="150" w:after="150" w:line="30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032926">
        <w:rPr>
          <w:rFonts w:ascii="Helvetica" w:eastAsia="Times New Roman" w:hAnsi="Helvetica" w:cs="Helvetica"/>
          <w:b/>
          <w:bCs/>
          <w:color w:val="8E0404"/>
          <w:sz w:val="26"/>
          <w:szCs w:val="26"/>
          <w:lang w:eastAsia="ru-RU"/>
        </w:rPr>
        <w:t xml:space="preserve">Ирина </w:t>
      </w:r>
      <w:proofErr w:type="spellStart"/>
      <w:r w:rsidRPr="00032926">
        <w:rPr>
          <w:rFonts w:ascii="Helvetica" w:eastAsia="Times New Roman" w:hAnsi="Helvetica" w:cs="Helvetica"/>
          <w:b/>
          <w:bCs/>
          <w:color w:val="8E0404"/>
          <w:sz w:val="26"/>
          <w:szCs w:val="26"/>
          <w:lang w:eastAsia="ru-RU"/>
        </w:rPr>
        <w:t>Абанкина</w:t>
      </w:r>
      <w:proofErr w:type="spellEnd"/>
      <w:r w:rsidRPr="0003292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br/>
        <w:t>Диффузия инноваций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Когда-то давно, четверть века назад, один мой друг (кстати, сейчас очень известный куратор современного искусства) спросил меня, как я себя чувствую, когда никто в мире не знает, где я нахожусь. Он сказал, что он просто перестает существовать сам для себя, если никто не знает, где он находится. Его модус существования напрямую связан со знанием других людей о его местонахождении. Размышляя об образовании, теперь уже я задаю себе вопрос: если никто не знает, где находится наше образование,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подтверждает факт его существования? Ответить на него не так просто, хотя вариантов множество — технологии обучения, учительский корпус, сети учебных заведений, на которых висят вывески, дипломы, свидетельства об образовании, законы... И тут мне, конечно, скажут, что важнейший симптом наличия системы — сама образованность человека. Но разве не ее мы каждодневно ругаем: дети ничего не знают, в вуз приходят просто неучи, специалисты ужасны, не умеют работать, и т. д., и т. п. И только о некоторых почивших говорят: он был очень образованным человеком, настоящий эрудит, человек энциклопедических знаний, таких теперь нет. Так что же осталось?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«Золотой век» нашего образования большинство людей, экспертов, педагогов ищут только в прошлом, причем, как бы ни ругали сегодняшний день, не успевает он закончиться, как его начинают причислять к «золотому веку»,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крайнем случае к позолоченному. Вспоминают про то, что мы были в тройке мировых лидеров в образовании в советские времена, хотя ни в 1960-е, ни в 1970-е, ни даже в 1980-е годы международных сопоставительных исследований достижений школьников, проведенных по единой методике, не было. Но в подтверждение лидирующих позиций тотчас приводятся достижения в освоении космоса и реакция американцев на преподавание математики в наших школах как залог успеха.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Да, это было — и первый космонавт, и реформы образования 1960-х годов, в том числе в части преподавания математических и естественно-научных предметов, и новые учебники, и т. д. Однако все это было в условиях глубокой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идеологизированности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системы образования и такой же глубокой дифференциации в результатах и достижениях школьников — не только между городскими и сельскими, но и между учениками простых и специализированных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школ, между регионами, между ребятами из разных социальных слоев, с родным и неродным русским языком и т. д. Одинаковыми были разве что черные фартуки, которые надо было носить десять лет подряд пять или шесть дней в неделю, за исключением праздников, когда можно было черный фартук сменить на белый, но платье все равно оставалось коричневым.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 форму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мальчиков вообще лучше не вспоминать. Так что высокие достоинства советской школы, с ее тоталитарным стремлением воспитать не только разум и чувства, но и вкус (особенно к фартукам, чтобы потом, как любая кухарка, управлять государством), следует признать мифом. Значительная часть экспертов это понимают, и их пытливая мысль углубляется в царские гимназии. При этом все реалистические описания Гоголя,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Помяловского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Чехова моментально забываются, даже телесные наказания, практиковавшиеся в царских гимназиях, готовы признать за благо. И все это только ради того, чтобы из будущего не смотреть на образование, чтобы превратить его исключительно в наследуемое благо, да еще без права отказа от наследства. Как будто образование — программа внутреннего развития человека и передается с генами.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32926" w:rsidRPr="00032926" w:rsidRDefault="00032926" w:rsidP="00032926">
      <w:pPr>
        <w:shd w:val="clear" w:color="auto" w:fill="FFFFFF"/>
        <w:spacing w:before="150" w:after="150" w:line="600" w:lineRule="atLeast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r w:rsidRPr="00032926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lastRenderedPageBreak/>
        <w:t>Угрозы и вызовы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Мне представляется, что сегодня уже нависла (буквально как гроза) острейшая необходимость проектирования будущего в образовании. Нам очень нужны новые модели школьного образования.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должен быть зримый образ будущего — новый архитектурный облик, новые пространства для учебы и тусовки, для интеллектуальных марафонов и коммуникаций со всем миром, а не только в своем дворе, новые учителя, выдержанный гендерный и возрастной баланс педагогических коллективов, руководители с харизмой и внятной стратегией развития, партнерские связи — нужны новые пространства, чтобы захотелось учиться.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creative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dreaming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работа по созданию мечты. Без нее «стратегия ремонтных работ», которой все так заняты, заворачивает мечту в прошлое, мы на место будущего подставляем образ прошлого и ждем, когда новая мотивация пробьется через узкие щели в камнях прошлого. </w:t>
      </w:r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Результат известен — те, кто работает в российском образовании, пока не стали креативным классом, который, как писал Ричард Флорида, меняет будущее.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Стратегия ремонтных работ отстает от ожиданий, ожидания ее обгоняют. Поэтому суть политики в школьном образовании — запуск механизмов продуцирования креативности. Для преодоления интеллектуального и технологического отставания в российском школьном образовании абсолютно необходимо наращивать потенциал креативности. Креативность — особое измерение, для ее формирования нужны специальные условия, прежде всего свобода творческого поиска, исследований, свобода думать, проектировать, пробовать, ошибаться... Для креативных индустрий характерна не ведомственная, а кластерная модель организации, на основе содружества независимых школ, университетов, фондов, некоммерческих организаций и коммерческих фирм, связанных отношениями сотрудничества и конкуренции, а также нередко общностью территории</w:t>
      </w:r>
      <w:bookmarkStart w:id="0" w:name="_ftnref1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"http://www.strana-oz.ru/2012/4/diffuziya-innovaciy-" \l "_ftn1" \o "" </w:instrTex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  <w:r w:rsidRPr="0003292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[1]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bookmarkEnd w:id="0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Точками опоры креативности в меняющемся глобальном мире становятся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32926" w:rsidRPr="00032926" w:rsidRDefault="00032926" w:rsidP="00032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поликультурная среда и толерантность,</w:t>
      </w:r>
    </w:p>
    <w:p w:rsidR="00032926" w:rsidRPr="00032926" w:rsidRDefault="00032926" w:rsidP="00032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лидеры и лидерство,</w:t>
      </w:r>
    </w:p>
    <w:p w:rsidR="00032926" w:rsidRPr="00032926" w:rsidRDefault="00032926" w:rsidP="00032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новые технологии менеджмента,</w:t>
      </w:r>
    </w:p>
    <w:p w:rsidR="00032926" w:rsidRPr="00032926" w:rsidRDefault="00032926" w:rsidP="00032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творческое начало, глубина культурных традиций и умение их поддерживать,</w:t>
      </w:r>
    </w:p>
    <w:p w:rsidR="00032926" w:rsidRPr="00032926" w:rsidRDefault="00032926" w:rsidP="00032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тиражирование и коммерческая эксплуатация,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обеспечивающие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доступность ресурсов,</w:t>
      </w:r>
    </w:p>
    <w:p w:rsidR="00032926" w:rsidRPr="00032926" w:rsidRDefault="00032926" w:rsidP="00032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навыки конструктивного диалога,</w:t>
      </w:r>
    </w:p>
    <w:p w:rsidR="00032926" w:rsidRPr="00032926" w:rsidRDefault="00032926" w:rsidP="00032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проектная идеология.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России, напротив, наблюдается:</w:t>
      </w:r>
    </w:p>
    <w:p w:rsidR="00032926" w:rsidRPr="00032926" w:rsidRDefault="00032926" w:rsidP="00032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недружелюбность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среды,</w:t>
      </w:r>
    </w:p>
    <w:p w:rsidR="00032926" w:rsidRPr="00032926" w:rsidRDefault="00032926" w:rsidP="00032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дефицит образовательной инфраструктуры,</w:t>
      </w:r>
    </w:p>
    <w:p w:rsidR="00032926" w:rsidRPr="00032926" w:rsidRDefault="00032926" w:rsidP="00032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недостаточная развитость правовой базы,</w:t>
      </w:r>
    </w:p>
    <w:p w:rsidR="00032926" w:rsidRPr="00032926" w:rsidRDefault="00032926" w:rsidP="00032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неразвитость механизмов финансовой и налоговой поддержки развития кластеров.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Сфера образования в России нуждается в системных институциональных изменениях. Такого мнения придерживаются практически все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стейкхолдеры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системе образования — профессиональное сообщество, эксперты, чиновники, родители и работодатели. Все сходятся во мнении, что сегодня необходимо повысить доступность качественного образования независимо от места жительства, социального статуса и доходов семьи, сделать его 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адекватным современным вызовам, вернуть системе образования фундаментальный характер. Практически все заинтересованные стороны согласны с тем, что надо отказаться от понимания качества образования как статической характеристики и усвоить взгляд на качество как процесс управления согласованием интересов разных групп — руководителей системы образования и учебных заведений, родителей, самих учащихся. Разногласия возникают по вопросам путей достижения этих целей. Поэтому для управления процессами модернизации в системе образования необходимо использовать методы управления по результату —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performance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management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всем сходстве решений, принимаемых в Европе и России, принципы, на которых основаны эти решения, часто оказываются противоположными. Так, например, при переходе на новые механизмы финансирования, ориентированные на результат (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Performance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Funding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Model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европейские страны основывали свои действия на концепции, предусматривающей максимизацию поддержки стратегических решений при минимизации вмешательства чиновников в дела учебных заведений — школ, техникумов, университетов. Всеми было признано, что автономия превращается в один из главных факторов, способствующих повышению качества и конкурентоспособности. Автономия выражается в том, что учебные заведения обладают академическими свободами, в частности в разработке образовательных программ и учебных планов, сами решают инвестиционные вопросы, менеджмент учебного заведения несет ответственность за финансовую деятельность и осуществляет ее контроль, включая долгосрочные программы, нанимает персонал и несет за него ответственность.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Внешне российские законы об автономии очень похожи на то, что делается в европейских странах, но по существу они не предоставляют обещанной свободы в принятии стратегических решений и распределении ресурсов, не защищают от мелочной опеки и неусыпного контроля, не гарантируют устойчивого долгосрочного развития. Ограничивает самостоятельность в распоряжении финансовыми средствами сохранение счетов в казначействе и обязанности применять 94-ФЗ для осуществления любых закупок, в том числе при заключении договоров на консалтинговые, исследовательские и проектные работы. Получается, что стратегические решения обслуживаются неадекватными механизмами финансирования — вместо устойчивого финансирования на долгосрочной основе вновь и вновь подспудно воспроизводятся механизмы текущего сметного финансирования, не оставляющего школе свободы маневра для развития.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Мы наблюдаем отставание институциональных реформ,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несомасштабность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сложившегося проектного менеджмента в школах современным вызовам и запросам семей. Но хуже всего то, что происходит замораживание развития кадрового потенциала и устаревших управленческих технологий. «Короткие» деньги, получаемые школами по смете или ежегодно утверждаемому чиновниками плану финансово-хозяйственной деятельности, цементируют сложившуюся модель и не могут сыграть роль катализатора реформ. Ресурс автономии не используется.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современных условиях спрос со стороны семей и самих обучающихся предъявляется не только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те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знания, которые предлагаются в форме дисциплин и предметов, но и на те компетенции и культурные стандарты, которые дает сам процесс обучения и пребывания в атмосфере современной школы. Для того что бы придать импульс к повышению качества, необходимо осуществить переход от управления образовательными учреждениями к управлению образовательными программами. Сейчас значимый креативный потенциал концентрируется в тех школах, которые отличаются открытостью к новому и динамизмом. 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Движение человеческого капитала обязательно меняет его качество, позволяет быстрее вытеснять устаревшее, осваивать новое.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32926" w:rsidRPr="00032926" w:rsidRDefault="00032926" w:rsidP="00032926">
      <w:pPr>
        <w:shd w:val="clear" w:color="auto" w:fill="FFFFFF"/>
        <w:spacing w:before="150" w:after="150" w:line="600" w:lineRule="atLeast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r w:rsidRPr="00032926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t>Резистентность среды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Призывы к переходу на инновационные модели как нельзя лучше соответствуют современным вызовам в образовании. Но процессы диффузии инноваций в системе школьного образования имеют ключевые особенности. В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бизнес-сфере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инновации, как правило, используются для формирования центров превосходства (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centre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of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excellence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поскольку дают конкурентные преимущества. Выигрыш обеспечивается на период времени, связанный с диффузией инноваций. Диффузия имеет волновой характер, провалы распространения и внедрения инноваций обусловлены неготовностью среды к инновациям, разреженностью интеллектуальной элиты и инфраструктуры. При попадании в открытую к инновациям и насыщенную интеллектуальными и предпринимательскими активностями среду скорость распространения и внедрения инноваций резко повышается. Одновременно с этим происходит утрата конкурентных преимуществ того, кто инициировал этот процесс. Инновация становится распространенным явлением, и центр превосходства утрачивает свою силу. Для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бизнес-сферы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интерес перемещается и вновь инициируется процесс создания инновации, которая может обеспечить (на время) конкурентное преимущество. Именно благодаря созданию центра превосходства инвесторы заинтересованы в генерировании инноваций, здесь нет провала рынка. В образовании в отличие от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бизнес-сферы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есть как минимум три ключевые отличительные особенности инноваций.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Во-первых, инновации в образовании (особенно в общем образовании, которое относится к общественным благам в большей мере, чем к частным благам) не могут создавать конкурентное преимущество, формировать центр превосходства для кого-либо в отдельности. Они должны носить системный характер. </w:t>
      </w:r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Инновации в образовании только тогда становятся инновациями, когда они имеют институциональный характер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 отличие от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бизнес-сферы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где утрата конкурентного преимущества и массовое распространение инновации становятся сигналом затухания инновационного эффекта, в образовании </w:t>
      </w:r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диссеминация инновации и ее повсеместное внедрение в образовательный процесс обеспечивают инновационный эффект, это сигнал не затухания инновации, а, напротив, сигнал перехода на новое качество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Локальные улучшения не дают образовательного эффекта. Инновационный эффект в образовании носит системный характер и проявляется в случае его институционального закрепления.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Во-вторых, образование относится к общественным благам, в отношении которых наблюдается «провал рынка», описанный Ричардом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Масгрейвом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Это означает, что инвестирование в инновации в образовании имеет характерные особенности — ключевым инвестором следует признать государство. Частные инвесторы могут быть партнерами государства в инвестировании в развитие образования, но невозможно исключить государство как ключевого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стейкхолдера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образовании. Это означает, что распределение доходов и рисков при инвестировании в образовательные инновации существенно отличается от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бизнес-сферы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требует специальных подходов и методов. На первый взгляд представляется, что есть аналогия инвестирования в инновации в образование с инвестированием в инфраструктуру — масштабность инвестиций, долгосрочный характер 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планирования и вложений, длительная окупаемость и т. д. Однако в инфраструктурном развитии у государства нет таких обязательств, как в образовании. Поэтому в инфраструктуре есть разработанные инструменты инвестирования, включая строительство, эксплуатацию и дальнейшую передачу в собственность государству построенных объектов — соглашения типа BOT (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build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operate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and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transfer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BOOT (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build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own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operate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and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transfer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и т. п., а также механизмы концессионных соглашений. Эти инструменты напрямую непригодны для использования при инвестировании в инновации в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образовании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в силу провалов рынка, так и в силу обязательств государства перед гражданами. Поэтому для инвестирования в инновации в образование (с учетом институционального характера инноваций, отмеченного в первом пункте) требуются специальные технологии партнерства государства, общества и бизнеса.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6865" cy="6666865"/>
            <wp:effectExtent l="0" t="0" r="635" b="635"/>
            <wp:docPr id="1" name="Рисунок 1" descr="http://www.strana-oz.ru/sites/default/files/images/articles/2012_4/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ana-oz.ru/sites/default/files/images/articles/2012_4/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6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lastRenderedPageBreak/>
        <w:t xml:space="preserve">В-третьих, результат инноваций в образовании носит отложенный и </w:t>
      </w:r>
      <w:proofErr w:type="spellStart"/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слабопрогнозируемый</w:t>
      </w:r>
      <w:proofErr w:type="spellEnd"/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характер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Слабая прогнозируемость эффекта от инновации (в том числе экономического эффекта) связывается с особенностями распространения, но не результата инновации для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бизнес-сферы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такового. Сам по себе содержательный результат инновации для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бизнес-сферы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определен.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Процесс диффузии инноваций в образовании происходит в резистентной (сопротивляющейся изменениям) среде. Можно обозначить как минимум четыре фокуса резистентности:</w:t>
      </w:r>
    </w:p>
    <w:p w:rsidR="00032926" w:rsidRPr="00032926" w:rsidRDefault="00032926" w:rsidP="000329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профессиональное сообщество, сцепленное профессиональной этикой, квалификационными стандартами и корпоративными интересами,</w:t>
      </w:r>
    </w:p>
    <w:p w:rsidR="00032926" w:rsidRPr="00032926" w:rsidRDefault="00032926" w:rsidP="000329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массовое сознание, отличающееся фрагментарностью, архаичностью, обратной перспективой во взглядах на образование,</w:t>
      </w:r>
    </w:p>
    <w:p w:rsidR="00032926" w:rsidRPr="00032926" w:rsidRDefault="00032926" w:rsidP="000329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властные структуры (как основной инвестор в условиях провала рынка и общественного характера образования как блага),</w:t>
      </w:r>
    </w:p>
    <w:p w:rsidR="00032926" w:rsidRPr="00032926" w:rsidRDefault="00032926" w:rsidP="000329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бизнес-сообщества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имеющие имманентные цели и собственный язык описания деятельности.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Преломление инноваций при прохождении такой среды нередко меняет саму суть изменений, приводит к локальному характеру инноваций, которые приобретают затухающую динамику. Поэтому без целенаправленной политики — управляемого процесса «преломления» инноваций в образовании через описанные выше среды осуществить системные инновации в образовании практически невозможно. Набор «политик в образовании» и диктуется задачами преодоления сопротивления образовательным инновациям в каждом из четырех выделенных фокусов. Каждый из фокусов искажает, преломляет, «гасит» или даже не пропускает инновации, поэтому диффузия не прогнозируема, она должна быть управляемой. Резистентность объясняется двумя факторами — нежеланием меняться, так как это дополнительные усилия и затраты, а также угрозами и рисками разрушения достигнутого баланса (достигнутой устойчивости или стабильности). Поскольку инновации в образовании не имеют четко прогнозируемого результата — напротив, </w:t>
      </w:r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результат носит отложенный и часто негарантированный характер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то заинтересованность в инновациях в образовании явно снижена. Следовательно, не только политика по демпфированию эффекта интерференции инноваций в образовании, но и само генерирование инноваций в образовании требует целенаправленной политики и поддержки.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Сегодня в этот процесс диффузии вмешивается еще один ключевой фактор. Темп технологического обновления становится соизмеримым с циклом диффузии инноваций в образовании. </w:t>
      </w:r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На предыдущих этапах «</w:t>
      </w:r>
      <w:proofErr w:type="spellStart"/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вбросы</w:t>
      </w:r>
      <w:proofErr w:type="spellEnd"/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» новых содержаний в образовательные программы, основанные на новых предметных знаниях, «</w:t>
      </w:r>
      <w:proofErr w:type="spellStart"/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вбросы</w:t>
      </w:r>
      <w:proofErr w:type="spellEnd"/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» новых методик преподавания могли базироваться на старых технологиях образования. В информационном обществе это уже не так. Цикл внедрения системной инновации в образование в условиях сопротивляющейся среды стал длиннее, чем темп смены технологических циклов. Это провоцирует постоянный эффект «запаздывающих» инноваций, которые становятся ингибитором, а не катализатором нового качества.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32926" w:rsidRPr="00032926" w:rsidRDefault="00032926" w:rsidP="00032926">
      <w:pPr>
        <w:shd w:val="clear" w:color="auto" w:fill="FFFFFF"/>
        <w:spacing w:before="150" w:after="150" w:line="600" w:lineRule="atLeast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r w:rsidRPr="00032926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t>Метаморфозы экономики образования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Попытка экономической интерпретации феномена образования основывалась на идеях, выдвинутых Милтоном Фридманом еще в середине 50-х годов ХХ века, а также на теории человеческого капитала, сформированной примерно в то же время усилиями Гэри Беккера, Теодора Шульца и других экономистов. Опорными точками в размышлениях об образовании были такие понятия, как </w:t>
      </w:r>
      <w:r w:rsidRPr="00032926"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  <w:t>благо, польза, лишения, человеческий капитал, сигналы, фильтры...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концептуальном проектировании крайне важно было оценить, как и насколько та или иная теория или концепция упрощает реальность, огрубляет ее, не получается ли так, что ключевые свойства этой реальности остаются за пределами теоретического описания и концептуального моделирования. Многих экспертов сегодня волнует вопрос, как сделать теорию человеческого капитала чувствительной к качеству образования. Обобщенным показателем запасов общего человеческого капитала, которыми располагает та или иная экономика, принято считать среднее число накопленных лет образования.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Однако этот показатель оказывается нечувствительным к качеству образования и не позволяет учитывать современные тенденции к сокращению сроков обучения за счет его интенсификации и использования современных образовательных технологий — короткие программы и высокий темп обновления в рамках концепции непрерывного образования (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life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long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learning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создают условия для гибкого реагирования на сигналы со стороны семей, со стороны рынка.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Однако формально при расчете накопленных лет образования такое расщепление может приводить к заниженной оценке запасов человеческого капитала. Более того, моральное устаревание полученного образования тоже не полностью встраивается в оценки человеческого капитала. Именно поэтому сегодня не прекращаются попытки концептуального развития теории человеческого капитала с учетом современных представлений об образовании на этапе перехода от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ЗУНовской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парадигмы (знания, умения, навыки) к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компетентностной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парадигме.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Еще одно направление совершенствования теории человеческого капитала, которое обсуждал известный российский экономист Евгений Сабуров, связано с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модификацией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 называемого начального нулевого наделения. Легко согласиться с мыслью, что все люди разные, причем уже до рождения, но совсем непросто построить теорию распределения начального капитала, предусматривающую разный темп накопления этого капитала в зависимости от стартовых возможностей и от приобретаемых способностей, в первую очередь от способности учиться. </w:t>
      </w:r>
      <w:bookmarkStart w:id="1" w:name="_GoBack"/>
      <w:r w:rsidRPr="0003292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Метафора ученика как «пустого сосуда», который учитель наполняет в процессе обучения, была использована Яном Коменским при построении его «Дидактики» в середине XVII века. На этой метафоре Ян Коменский основывал свои методы, которые позволили разработать классно-урочную систему в школе и гарантировать результат обучения. Принципы организации школы, заложенные Коменским более 350 лет назад, действуют и сейчас. Так что метафора «пустого сосуда, заполняемого в процессе обучения» оказалась вполне плодотворной. </w:t>
      </w:r>
      <w:bookmarkEnd w:id="1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приходится констатировать несовместимость таких представлений с современными вызовами, научный поиск экономистов в образовании направлен на достраивание теории человеческого капитала, причем достраивание базовых принципов, разработку математических моделей, которые бы позволяли учитывать и качество образования, и разность стартовых условий, и принципы капитализации дохода от образования в будущем.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Либеральные концепции в финансировании образования связаны с так называемым нормативным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подушевым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финансированием, с развитием идей, заложенных Милтоном Фридманом. Сущность замысла заключалась во введении в нерыночную систему образования некоторого рыночного инструмента (субститута), позволяющего сочетать преимущества рыночной организации предоставления услуг с государственными гарантиями 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финансирования. В первую очередь имелось в виду создание механизма конкуренции учебных заведений за учеников, нацеленность на индивидуальные потребности и особенности обучающихся, повышение возможностей выбора в образовании. Предполагалось, что рыночные инструменты позволят также повысить эффективность бюджетных расходов на образование. В качестве условий оговаривалось, что учебные заведения получат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существенно большую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чем ранее, свободу в расходовании поступающих бюджетных средств, особенно в части оплаты труда эффективно работающих преподавателей, что будет обеспечено ростом автономии. Оплата труда в этом случае строится на стимулирующих принципах и ориентирована на увязку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размеров оплаты труда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качеством (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payment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for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quality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результативностью (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performance-related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pay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Все это должно было работать в конечном итоге на рост качества предоставляемых образовательных услуг.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последней трети ХХ века «формульное финансирование» учебных заведений в зависимости от числа обучающихся по разным программам широко вводилось в разных странах — как в развитых, так и развивающихся.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России этот принцип и называется «нормативным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подушевым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финансированием». Основным условием поддержания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конкурентности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через механизм нормативного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подушевого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финансирования является то, что доля бюджета, которая определяется по формулам с учетом числа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фактически передается учебному заведению в виде блокового гранта иди субсидии, и учебное заведение само распоряжается этой частью своего бюджета. Такой принцип финансирования создает финансовые стимулы для набора обучающихся и предоставляет семьям и самим ученикам возможность выбора, что является важнейшим компонентом «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квазирынка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образовательных услуг. Эксперты сходятся во мнении о необходимости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дерегуляции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институционального менеджмента, несмотря на то, что ужесточается целевой контроль со стороны государства путем оценки достижений, то есть акцент фактически </w:t>
      </w:r>
      <w:proofErr w:type="gram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переносится</w:t>
      </w:r>
      <w:proofErr w:type="gram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новые формы государственно-общественного управления и усиление ответственности перед учредителями. Современные финансовые механизмы, которые сегодня апробируются в образовании практически во всех странах, основаны на комбинации различных подходов, таких как формульное финансирование, бюджетирование, ориентированное на результат, программное и стимулирующее финансирование. Однако в условиях финансово-экономического кризиса упор делается на достижение более высоких результатов при заданных параметрах государственных расходов. Пока неизвестно, насколько защищенными в новых условиях окажутся доступность, качество и результативность работы учебных заведений и станет ли более эффективной их предпринимательская деятельность. Это относится к основным рискам новой системы, но управление рисками — составная часть современного менеджмента, и речь идет о балансе ответственности. Если основные игроки (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стейкхолдеры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ведут себя честно и используют прозрачные механизмы, то баланс теоретически может быть достигнут.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образования более адекватны методы управления, характерные для современного управления сетью, а не отдельным учреждением или предприятием. Это намного сложнее, поскольку требует многоаспектного фокусирования, гибкого сочетания принципов административного руководства, косвенного экономико-финансового воздействия, деликатного стимулирования. Концептуальными основами такого подхода считаются теории сигналов и фильтров, ориентированные на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деятельностные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принципы в управлении образовательным учреждением, на актуализацию будущего в настоящем, на то, что принято называть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action-education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&amp;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action-research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Для этого учебное заведение, конечно, должно обладать свободой в стягивании и переброске ресурсов, владеть технологиями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фандрайзинга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и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френдрайзинга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(поиска друзей и партнеров). Это не отменяет принципов прозрачного бюджетирования и общественного контроля, а наоборот — заставляет использовать максимально эффективно эти механизмы. В настоящее время наиболее успешными в плане обеспечения инновационного характера развития образовательной деятельности становятся такие учебные заведения, в которых одновременно реализуются три типа процессов:</w:t>
      </w:r>
    </w:p>
    <w:p w:rsidR="00032926" w:rsidRPr="00032926" w:rsidRDefault="00032926" w:rsidP="000329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разработка образовательных технологий, обеспечивающих интеграцию проектных и исследовательских задач в учебный процесс;</w:t>
      </w:r>
    </w:p>
    <w:p w:rsidR="00032926" w:rsidRPr="00032926" w:rsidRDefault="00032926" w:rsidP="000329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разработка проектов, связанных с развитием различных социальных практик;</w:t>
      </w:r>
    </w:p>
    <w:p w:rsidR="00032926" w:rsidRPr="00032926" w:rsidRDefault="00032926" w:rsidP="000329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исследований как фундаментального, так и прикладного характера.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Эффективное сочетание всех трех процессов при создании и обновлении образовательных программ обеспечивает их конкурентоспособность.</w:t>
      </w:r>
    </w:p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Обычно экономический фокус появляется тогда, когда речь идет об управлении в пространстве ограниченных ресурсов. Но образовательные ресурсы расширяются стремительно. Более того, они расширяются в процессе их использования как синергетические ресурсы, в любой электронной образовательной среде остаются все следы предыдущих решений, результаты предыдущих проектов, описания уже сделанных кейсов и их анализ, результаты коммуникаций и совместно найденных решений, они не повторяются, они ветвятся, моментально превращаясь в новый образовательный ресурс. Что является ограниченным ресурсом? Время на их освоение и оптимальные траектории достижения результатов. Что может стать предметом рыночного обмена? Коды доступа к сервисам, навигаторы, карты в виртуальном пространстве. Эта экономика пока еще не построена. Механизм закрепления справедливости в распределении ресурсов в образовании, не затягивание образования в прокрустово ложе бюджетной отрасли, а экономическая интерпретация свободы в образовании не найдены. Хотя именно эти принципы финансирования дают каждому не только право на образование, но и право на развитие, право на мобильность по любому из векторов: в социальной, культурной, интеллектуальной, профессиональной, этической, психологической и в любой другой сфере. Все привычные теоретические конструкции — прозрачной конкуренции, сигналов и фильтров в условиях информационной асимметрии, окупаемости инвестиций, собственности, авторских прав, распределения ресурсов, рисков, выгод, монопольных эффектов и т. д. — перестают работать в символической экономике кодов доступа к расширяющимся образовательным ресурсам. Это уже не рынки товаров или услуг, не рынки прав или финансовых обязательств, не рынки, регулируемые абонентскими платами за подключение. Если в рамках вариативного образования и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деятельностной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педагогики с расширяющимися виртуальными образовательными ресурсами удастся разработать принципиально новую экономическую парадигму, то это и будет ответом на современные вызовы — вкладом образования в образование новой экономики. Такой вот каламбур получается.</w:t>
      </w:r>
    </w:p>
    <w:p w:rsidR="00032926" w:rsidRPr="00032926" w:rsidRDefault="00032926" w:rsidP="00032926">
      <w:pPr>
        <w:shd w:val="clear" w:color="auto" w:fill="FFFFFF"/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5" style="width:154.35pt;height:.75pt" o:hrpct="330" o:hralign="center" o:hrstd="t" o:hr="t" fillcolor="#a0a0a0" stroked="f"/>
        </w:pict>
      </w:r>
    </w:p>
    <w:bookmarkStart w:id="2" w:name="_ftn1"/>
    <w:p w:rsidR="00032926" w:rsidRPr="00032926" w:rsidRDefault="00032926" w:rsidP="0003292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"http://www.strana-oz.ru/2012/4/diffuziya-innovaciy-" \l "_ftnref1" \o "" </w:instrTex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  <w:r w:rsidRPr="0003292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[1]</w:t>
      </w:r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bookmarkEnd w:id="2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Креативные индустрии предполагают деятельность, в основе которой лежит индивидуальное творческое начало, навык или талант и которая несет в себе потенциал создания добавленной стоимости и рабочих мест путем производства и эксплуатации интеллектуальной собственности (UK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Creative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Industries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Taskforce</w:t>
      </w:r>
      <w:proofErr w:type="spellEnd"/>
      <w:r w:rsidRPr="000329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1998).</w:t>
      </w:r>
    </w:p>
    <w:p w:rsidR="00032926" w:rsidRPr="00032926" w:rsidRDefault="00032926" w:rsidP="0003292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32FFB" w:rsidRDefault="00732FFB"/>
    <w:sectPr w:rsidR="0073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73E"/>
    <w:multiLevelType w:val="multilevel"/>
    <w:tmpl w:val="D496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44052"/>
    <w:multiLevelType w:val="multilevel"/>
    <w:tmpl w:val="8F0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D3E6D"/>
    <w:multiLevelType w:val="multilevel"/>
    <w:tmpl w:val="2DB8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866E8"/>
    <w:multiLevelType w:val="multilevel"/>
    <w:tmpl w:val="1AFA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C0"/>
    <w:rsid w:val="00032926"/>
    <w:rsid w:val="00732FFB"/>
    <w:rsid w:val="00922B17"/>
    <w:rsid w:val="00A0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32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lb">
    <w:name w:val="colb"/>
    <w:basedOn w:val="a0"/>
    <w:rsid w:val="00032926"/>
  </w:style>
  <w:style w:type="paragraph" w:styleId="a3">
    <w:name w:val="Normal (Web)"/>
    <w:basedOn w:val="a"/>
    <w:uiPriority w:val="99"/>
    <w:semiHidden/>
    <w:unhideWhenUsed/>
    <w:rsid w:val="0003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9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2926"/>
  </w:style>
  <w:style w:type="paragraph" w:styleId="a5">
    <w:name w:val="Balloon Text"/>
    <w:basedOn w:val="a"/>
    <w:link w:val="a6"/>
    <w:uiPriority w:val="99"/>
    <w:semiHidden/>
    <w:unhideWhenUsed/>
    <w:rsid w:val="0003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32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lb">
    <w:name w:val="colb"/>
    <w:basedOn w:val="a0"/>
    <w:rsid w:val="00032926"/>
  </w:style>
  <w:style w:type="paragraph" w:styleId="a3">
    <w:name w:val="Normal (Web)"/>
    <w:basedOn w:val="a"/>
    <w:uiPriority w:val="99"/>
    <w:semiHidden/>
    <w:unhideWhenUsed/>
    <w:rsid w:val="0003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9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2926"/>
  </w:style>
  <w:style w:type="paragraph" w:styleId="a5">
    <w:name w:val="Balloon Text"/>
    <w:basedOn w:val="a"/>
    <w:link w:val="a6"/>
    <w:uiPriority w:val="99"/>
    <w:semiHidden/>
    <w:unhideWhenUsed/>
    <w:rsid w:val="0003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0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2013-09-16T11:35:00Z</dcterms:created>
  <dcterms:modified xsi:type="dcterms:W3CDTF">2013-09-16T11:55:00Z</dcterms:modified>
</cp:coreProperties>
</file>